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color w:val="007ad0"/>
          <w:sz w:val="36"/>
          <w:szCs w:val="36"/>
          <w:rtl w:val="0"/>
        </w:rPr>
        <w:t xml:space="preserve">Объекты спорта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Спортивного оборудованного зала в ДОУ нет.Проведение музыкальных, физкультурных занятий, праздников, развлечений и общественных мероприятий осуществляются в групповом помещении, в группах или специально оборудованном участке, на территориидошкольного учреждения.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